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B5" w:rsidRPr="000156B5" w:rsidRDefault="000156B5" w:rsidP="000156B5">
      <w:pPr>
        <w:spacing w:line="360" w:lineRule="auto"/>
        <w:jc w:val="both"/>
        <w:rPr>
          <w:b/>
          <w:sz w:val="24"/>
          <w:szCs w:val="24"/>
        </w:rPr>
      </w:pPr>
      <w:r w:rsidRPr="000156B5">
        <w:rPr>
          <w:b/>
          <w:sz w:val="24"/>
          <w:szCs w:val="24"/>
        </w:rPr>
        <w:t>Silvia Bussi-Università degli Studi, Milan</w:t>
      </w:r>
    </w:p>
    <w:p w:rsidR="000156B5" w:rsidRPr="000156B5" w:rsidRDefault="000156B5" w:rsidP="000156B5">
      <w:pPr>
        <w:spacing w:line="360" w:lineRule="auto"/>
        <w:jc w:val="both"/>
        <w:rPr>
          <w:b/>
          <w:sz w:val="24"/>
          <w:szCs w:val="24"/>
        </w:rPr>
      </w:pPr>
    </w:p>
    <w:p w:rsidR="00174FBB" w:rsidRDefault="000156B5" w:rsidP="000156B5">
      <w:pPr>
        <w:spacing w:line="360" w:lineRule="auto"/>
        <w:jc w:val="both"/>
        <w:rPr>
          <w:b/>
          <w:sz w:val="24"/>
          <w:szCs w:val="24"/>
          <w:lang w:val="en-US"/>
        </w:rPr>
      </w:pPr>
      <w:r w:rsidRPr="000156B5">
        <w:rPr>
          <w:b/>
          <w:sz w:val="24"/>
          <w:szCs w:val="24"/>
          <w:lang w:val="en-US"/>
        </w:rPr>
        <w:t>1ST INTERNATIONAL SYMPOSIUM ON ANIMALS IN ANCIENT EGYPT</w:t>
      </w:r>
      <w:r>
        <w:rPr>
          <w:b/>
          <w:sz w:val="24"/>
          <w:szCs w:val="24"/>
          <w:lang w:val="en-US"/>
        </w:rPr>
        <w:t>-CALL FOR PAPERS.</w:t>
      </w:r>
    </w:p>
    <w:p w:rsidR="000156B5" w:rsidRDefault="000156B5" w:rsidP="000156B5">
      <w:pPr>
        <w:spacing w:line="360" w:lineRule="auto"/>
        <w:jc w:val="both"/>
        <w:rPr>
          <w:b/>
          <w:sz w:val="24"/>
          <w:szCs w:val="24"/>
          <w:lang w:val="en-US"/>
        </w:rPr>
      </w:pPr>
    </w:p>
    <w:p w:rsidR="000156B5" w:rsidRDefault="000156B5" w:rsidP="000156B5">
      <w:pPr>
        <w:spacing w:line="360" w:lineRule="auto"/>
        <w:jc w:val="both"/>
        <w:rPr>
          <w:b/>
          <w:sz w:val="24"/>
          <w:szCs w:val="24"/>
          <w:lang w:val="en-US"/>
        </w:rPr>
      </w:pPr>
    </w:p>
    <w:p w:rsidR="000156B5" w:rsidRDefault="000156B5" w:rsidP="000156B5">
      <w:pPr>
        <w:spacing w:line="360" w:lineRule="auto"/>
        <w:jc w:val="both"/>
        <w:rPr>
          <w:sz w:val="24"/>
          <w:szCs w:val="24"/>
          <w:lang w:val="fr-FR"/>
        </w:rPr>
      </w:pPr>
      <w:r w:rsidRPr="000156B5">
        <w:rPr>
          <w:sz w:val="24"/>
          <w:szCs w:val="24"/>
          <w:lang w:val="fr-FR"/>
        </w:rPr>
        <w:t>Le culte des animaux sacrés est une réalité complexe et multiforme dans l’</w:t>
      </w:r>
      <w:r>
        <w:rPr>
          <w:sz w:val="24"/>
          <w:szCs w:val="24"/>
          <w:lang w:val="fr-FR"/>
        </w:rPr>
        <w:t>Égypte ancienne, un phénomène constant du Nouvel Empire à l’Antiquité tardive (le dernier taureau Bouchis est enterré en 340 apr. J.-C., comme sa stèle funéraire atteste), qui connait en conséquence des évolutions, des moments de « crise » et de nouvelle vitalité, des modifications dans l’organisation et la perception auprès des fidèles.</w:t>
      </w:r>
    </w:p>
    <w:p w:rsidR="00DD64AB" w:rsidRDefault="00DD64AB" w:rsidP="000156B5">
      <w:pPr>
        <w:spacing w:line="36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L’époque gréco-romaine marque un moment de succès de ce type de culte, notamment dans les temples de culte autochtone, et le reflet de cette pratique trouve un écho soit da</w:t>
      </w:r>
      <w:r w:rsidR="00E078BE">
        <w:rPr>
          <w:sz w:val="24"/>
          <w:szCs w:val="24"/>
          <w:lang w:val="fr-FR"/>
        </w:rPr>
        <w:t>ns les sources littéraires soit</w:t>
      </w:r>
      <w:r>
        <w:rPr>
          <w:sz w:val="24"/>
          <w:szCs w:val="24"/>
          <w:lang w:val="fr-FR"/>
        </w:rPr>
        <w:t>, notamment</w:t>
      </w:r>
      <w:r w:rsidR="00E80E87">
        <w:rPr>
          <w:sz w:val="24"/>
          <w:szCs w:val="24"/>
          <w:lang w:val="fr-FR"/>
        </w:rPr>
        <w:t>,</w:t>
      </w:r>
      <w:r>
        <w:rPr>
          <w:sz w:val="24"/>
          <w:szCs w:val="24"/>
          <w:lang w:val="fr-FR"/>
        </w:rPr>
        <w:t xml:space="preserve"> dans les papyrus en langue grecque et dans les sources archéologiques.</w:t>
      </w:r>
    </w:p>
    <w:p w:rsidR="00E45517" w:rsidRDefault="00E45517" w:rsidP="000156B5">
      <w:pPr>
        <w:spacing w:line="36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Il faut d’abord nuancer entre le culte des Apis et des Mnévis, taureaux sacrés qui suscitent, dès le début du royaume ptolémaïque, l’intérêt et la participation act</w:t>
      </w:r>
      <w:r w:rsidR="00D00922">
        <w:rPr>
          <w:sz w:val="24"/>
          <w:szCs w:val="24"/>
          <w:lang w:val="fr-FR"/>
        </w:rPr>
        <w:t>ive des souverains, et le culte dont sont objet</w:t>
      </w:r>
      <w:r>
        <w:rPr>
          <w:sz w:val="24"/>
          <w:szCs w:val="24"/>
          <w:lang w:val="fr-FR"/>
        </w:rPr>
        <w:t xml:space="preserve"> </w:t>
      </w:r>
      <w:r w:rsidR="00D00922">
        <w:rPr>
          <w:sz w:val="24"/>
          <w:szCs w:val="24"/>
          <w:lang w:val="fr-FR"/>
        </w:rPr>
        <w:t>d’</w:t>
      </w:r>
      <w:r>
        <w:rPr>
          <w:sz w:val="24"/>
          <w:szCs w:val="24"/>
          <w:lang w:val="fr-FR"/>
        </w:rPr>
        <w:t>autres animaux qui, élevés, souvent tués exprès et momifié</w:t>
      </w:r>
      <w:r w:rsidR="00E80E87">
        <w:rPr>
          <w:sz w:val="24"/>
          <w:szCs w:val="24"/>
          <w:lang w:val="fr-FR"/>
        </w:rPr>
        <w:t>s</w:t>
      </w:r>
      <w:r>
        <w:rPr>
          <w:sz w:val="24"/>
          <w:szCs w:val="24"/>
          <w:lang w:val="fr-FR"/>
        </w:rPr>
        <w:t xml:space="preserve"> –d’une façon plus ou moins correcte, plus ou moins </w:t>
      </w:r>
      <w:r w:rsidR="00D00922">
        <w:rPr>
          <w:sz w:val="24"/>
          <w:szCs w:val="24"/>
          <w:lang w:val="fr-FR"/>
        </w:rPr>
        <w:t>marquée de tricherie</w:t>
      </w:r>
      <w:r>
        <w:rPr>
          <w:sz w:val="24"/>
          <w:szCs w:val="24"/>
          <w:lang w:val="fr-FR"/>
        </w:rPr>
        <w:t>-, étaient destinés à l’expression de la piété individuelle des fidèles, sous la forme d’</w:t>
      </w:r>
      <w:r w:rsidRPr="00E45517">
        <w:rPr>
          <w:i/>
          <w:sz w:val="24"/>
          <w:szCs w:val="24"/>
          <w:lang w:val="fr-FR"/>
        </w:rPr>
        <w:t>ex-voto</w:t>
      </w:r>
      <w:r w:rsidR="00C363BA">
        <w:rPr>
          <w:sz w:val="24"/>
          <w:szCs w:val="24"/>
          <w:lang w:val="fr-FR"/>
        </w:rPr>
        <w:t>. Même dans ce dernier</w:t>
      </w:r>
      <w:r>
        <w:rPr>
          <w:sz w:val="24"/>
          <w:szCs w:val="24"/>
          <w:lang w:val="fr-FR"/>
        </w:rPr>
        <w:t xml:space="preserve"> cas, pourtant, une dimension publique du phénomène existait et </w:t>
      </w:r>
      <w:r w:rsidR="00C363BA">
        <w:rPr>
          <w:sz w:val="24"/>
          <w:szCs w:val="24"/>
          <w:lang w:val="fr-FR"/>
        </w:rPr>
        <w:t xml:space="preserve">ce </w:t>
      </w:r>
      <w:r>
        <w:rPr>
          <w:sz w:val="24"/>
          <w:szCs w:val="24"/>
          <w:lang w:val="fr-FR"/>
        </w:rPr>
        <w:t xml:space="preserve">n’était pas un facteur négligeable : la participation des autorités publiques –du nome, de la toparchie et du village- aux grandes cérémonies annuelles d’enterrements des bêtes sacrées, ainsi que les rites de purification qui les accompagnaient marquent l’importance de cette pratique religieuse. L’extension des subventions royales au culte et à l’entretien de tous les animaux sacrés établie en 118 av. J.-C. par le décret d’amnistie de Ptolémée VIII Évergète II </w:t>
      </w:r>
      <w:r w:rsidR="00C363BA">
        <w:rPr>
          <w:sz w:val="24"/>
          <w:szCs w:val="24"/>
          <w:lang w:val="fr-FR"/>
        </w:rPr>
        <w:t xml:space="preserve">(P.Tebt. I 5, lignes 76-78) </w:t>
      </w:r>
      <w:r>
        <w:rPr>
          <w:sz w:val="24"/>
          <w:szCs w:val="24"/>
          <w:lang w:val="fr-FR"/>
        </w:rPr>
        <w:t>comporte un engagement ultérieur de la Couronne dans cet</w:t>
      </w:r>
      <w:r w:rsidR="003F5464">
        <w:rPr>
          <w:sz w:val="24"/>
          <w:szCs w:val="24"/>
          <w:lang w:val="fr-FR"/>
        </w:rPr>
        <w:t>te</w:t>
      </w:r>
      <w:r>
        <w:rPr>
          <w:sz w:val="24"/>
          <w:szCs w:val="24"/>
          <w:lang w:val="fr-FR"/>
        </w:rPr>
        <w:t xml:space="preserve"> </w:t>
      </w:r>
      <w:r w:rsidR="003F5464">
        <w:rPr>
          <w:sz w:val="24"/>
          <w:szCs w:val="24"/>
          <w:lang w:val="fr-FR"/>
        </w:rPr>
        <w:t>coutume religieuse</w:t>
      </w:r>
      <w:r>
        <w:rPr>
          <w:sz w:val="24"/>
          <w:szCs w:val="24"/>
          <w:lang w:val="fr-FR"/>
        </w:rPr>
        <w:t xml:space="preserve"> typiquement égyptien</w:t>
      </w:r>
      <w:r w:rsidR="003F5464">
        <w:rPr>
          <w:sz w:val="24"/>
          <w:szCs w:val="24"/>
          <w:lang w:val="fr-FR"/>
        </w:rPr>
        <w:t>ne</w:t>
      </w:r>
      <w:r>
        <w:rPr>
          <w:sz w:val="24"/>
          <w:szCs w:val="24"/>
          <w:lang w:val="fr-FR"/>
        </w:rPr>
        <w:t>.</w:t>
      </w:r>
    </w:p>
    <w:p w:rsidR="00E45517" w:rsidRDefault="00E45517" w:rsidP="004B5A13">
      <w:pPr>
        <w:spacing w:line="36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Toutes ces considérations portent à s’</w:t>
      </w:r>
      <w:r w:rsidR="008F795F">
        <w:rPr>
          <w:sz w:val="24"/>
          <w:szCs w:val="24"/>
          <w:lang w:val="fr-FR"/>
        </w:rPr>
        <w:t>inte</w:t>
      </w:r>
      <w:r>
        <w:rPr>
          <w:sz w:val="24"/>
          <w:szCs w:val="24"/>
          <w:lang w:val="fr-FR"/>
        </w:rPr>
        <w:t xml:space="preserve">rroger </w:t>
      </w:r>
      <w:r w:rsidR="008F795F">
        <w:rPr>
          <w:sz w:val="24"/>
          <w:szCs w:val="24"/>
          <w:lang w:val="fr-FR"/>
        </w:rPr>
        <w:t xml:space="preserve">sur quelques points </w:t>
      </w:r>
      <w:r w:rsidR="002E087F">
        <w:rPr>
          <w:sz w:val="24"/>
          <w:szCs w:val="24"/>
          <w:lang w:val="fr-FR"/>
        </w:rPr>
        <w:t>ponctuels</w:t>
      </w:r>
      <w:r w:rsidR="008F795F">
        <w:rPr>
          <w:sz w:val="24"/>
          <w:szCs w:val="24"/>
          <w:lang w:val="fr-FR"/>
        </w:rPr>
        <w:t>. D’abord, sur qui étaient les responsables de l’élevage et de l’entretien des animaux, ainsi que sur le rôle spécifique</w:t>
      </w:r>
      <w:r w:rsidR="002E087F">
        <w:rPr>
          <w:sz w:val="24"/>
          <w:szCs w:val="24"/>
          <w:lang w:val="fr-FR"/>
        </w:rPr>
        <w:t xml:space="preserve"> (et sur la dénomination précise)</w:t>
      </w:r>
      <w:r w:rsidR="008F795F">
        <w:rPr>
          <w:sz w:val="24"/>
          <w:szCs w:val="24"/>
          <w:lang w:val="fr-FR"/>
        </w:rPr>
        <w:t xml:space="preserve"> de chacun. Les documents </w:t>
      </w:r>
      <w:r w:rsidR="002E087F">
        <w:rPr>
          <w:sz w:val="24"/>
          <w:szCs w:val="24"/>
          <w:lang w:val="fr-FR"/>
        </w:rPr>
        <w:t>en grec distinguent, par exemple</w:t>
      </w:r>
      <w:r w:rsidR="008F795F">
        <w:rPr>
          <w:sz w:val="24"/>
          <w:szCs w:val="24"/>
          <w:lang w:val="fr-FR"/>
        </w:rPr>
        <w:t xml:space="preserve"> pour ce qui concerne les ibis, entre les </w:t>
      </w:r>
      <w:r w:rsidR="008F795F">
        <w:rPr>
          <w:i/>
          <w:sz w:val="24"/>
          <w:szCs w:val="24"/>
          <w:lang w:val="fr-FR"/>
        </w:rPr>
        <w:t xml:space="preserve">ibioboskoi </w:t>
      </w:r>
      <w:r w:rsidR="008F795F">
        <w:rPr>
          <w:sz w:val="24"/>
          <w:szCs w:val="24"/>
          <w:lang w:val="fr-FR"/>
        </w:rPr>
        <w:t>et les</w:t>
      </w:r>
      <w:r w:rsidR="008F795F">
        <w:rPr>
          <w:i/>
          <w:sz w:val="24"/>
          <w:szCs w:val="24"/>
          <w:lang w:val="fr-FR"/>
        </w:rPr>
        <w:t xml:space="preserve"> ibiotaphoi</w:t>
      </w:r>
      <w:r w:rsidR="008F795F">
        <w:rPr>
          <w:sz w:val="24"/>
          <w:szCs w:val="24"/>
          <w:lang w:val="fr-FR"/>
        </w:rPr>
        <w:t xml:space="preserve">, tandis que le </w:t>
      </w:r>
      <w:r w:rsidR="008F795F">
        <w:rPr>
          <w:i/>
          <w:sz w:val="24"/>
          <w:szCs w:val="24"/>
          <w:lang w:val="fr-FR"/>
        </w:rPr>
        <w:t>Gnomon de l’Idiologue</w:t>
      </w:r>
      <w:r w:rsidR="008F795F">
        <w:rPr>
          <w:sz w:val="24"/>
          <w:szCs w:val="24"/>
          <w:lang w:val="fr-FR"/>
        </w:rPr>
        <w:t xml:space="preserve">, un règlement d’époque romaine, interdit (§ 93) à ceux qui ensevelissent les animaux sacrés d’exercer </w:t>
      </w:r>
      <w:r w:rsidR="008F795F">
        <w:rPr>
          <w:sz w:val="24"/>
          <w:szCs w:val="24"/>
          <w:lang w:val="fr-FR"/>
        </w:rPr>
        <w:lastRenderedPageBreak/>
        <w:t>des charges sacerdotales élevées. On s’interroge alors sur la nature sacerdotale de ceux qui entretiennent, momifient et enterrent les animaux sacrés, ainsi que sur leur provenance sociale.</w:t>
      </w:r>
    </w:p>
    <w:p w:rsidR="004B5A13" w:rsidRPr="005249BB" w:rsidRDefault="008F795F" w:rsidP="004B5A13">
      <w:pPr>
        <w:spacing w:line="36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Encore, quelles étaient les ressources économiques qui permettaient la « production »</w:t>
      </w:r>
      <w:r w:rsidR="00464630">
        <w:rPr>
          <w:sz w:val="24"/>
          <w:szCs w:val="24"/>
          <w:lang w:val="fr-FR"/>
        </w:rPr>
        <w:t xml:space="preserve">, par exemple, </w:t>
      </w:r>
      <w:r>
        <w:rPr>
          <w:sz w:val="24"/>
          <w:szCs w:val="24"/>
          <w:lang w:val="fr-FR"/>
        </w:rPr>
        <w:t>des 10.000 crocodiles enterrés dans la seule Tebtynis</w:t>
      </w:r>
      <w:r w:rsidR="00464630">
        <w:rPr>
          <w:sz w:val="24"/>
          <w:szCs w:val="24"/>
          <w:lang w:val="fr-FR"/>
        </w:rPr>
        <w:t>, selon les estimations d’Edda Bresciani</w:t>
      </w:r>
      <w:r w:rsidR="005249BB">
        <w:rPr>
          <w:rStyle w:val="Rimandonotaapidipagina"/>
          <w:sz w:val="24"/>
          <w:szCs w:val="24"/>
          <w:lang w:val="fr-FR"/>
        </w:rPr>
        <w:footnoteReference w:id="1"/>
      </w:r>
      <w:r w:rsidR="005249BB">
        <w:rPr>
          <w:sz w:val="24"/>
          <w:szCs w:val="24"/>
          <w:lang w:val="fr-FR"/>
        </w:rPr>
        <w:t xml:space="preserve"> </w:t>
      </w:r>
      <w:r w:rsidR="004B5A13">
        <w:rPr>
          <w:sz w:val="24"/>
          <w:szCs w:val="24"/>
          <w:lang w:val="fr-FR"/>
        </w:rPr>
        <w:t xml:space="preserve"> </w:t>
      </w:r>
      <w:r w:rsidR="00464630">
        <w:rPr>
          <w:sz w:val="24"/>
          <w:szCs w:val="24"/>
          <w:lang w:val="fr-FR"/>
        </w:rPr>
        <w:t>ou les 15.000 ibis</w:t>
      </w:r>
      <w:r w:rsidR="005249BB">
        <w:rPr>
          <w:rStyle w:val="Rimandonotaapidipagina"/>
          <w:sz w:val="24"/>
          <w:szCs w:val="24"/>
          <w:lang w:val="fr-FR"/>
        </w:rPr>
        <w:footnoteReference w:id="2"/>
      </w:r>
      <w:r w:rsidR="005249BB">
        <w:rPr>
          <w:sz w:val="24"/>
          <w:szCs w:val="24"/>
          <w:lang w:val="fr-FR"/>
        </w:rPr>
        <w:t xml:space="preserve"> enterrés à Touna el-Gebel</w:t>
      </w:r>
      <w:r w:rsidR="004B5A13" w:rsidRPr="005249BB">
        <w:rPr>
          <w:sz w:val="24"/>
          <w:szCs w:val="24"/>
          <w:lang w:val="fr-FR"/>
        </w:rPr>
        <w:t>?</w:t>
      </w:r>
    </w:p>
    <w:p w:rsidR="004B5A13" w:rsidRDefault="00F167DE" w:rsidP="004B5A13">
      <w:pPr>
        <w:spacing w:line="36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Dernière question affrontée</w:t>
      </w:r>
      <w:r w:rsidR="004B5A13" w:rsidRPr="004B5A13">
        <w:rPr>
          <w:sz w:val="24"/>
          <w:szCs w:val="24"/>
          <w:lang w:val="fr-FR"/>
        </w:rPr>
        <w:t xml:space="preserve">: quel était le poids </w:t>
      </w:r>
      <w:r w:rsidR="004B5A13">
        <w:rPr>
          <w:sz w:val="24"/>
          <w:szCs w:val="24"/>
          <w:lang w:val="fr-FR"/>
        </w:rPr>
        <w:t>du culte des animaux sacrés dans l’économie des temples autochtones dans l’Égypte hellénistiques</w:t>
      </w:r>
      <w:r w:rsidR="00B56387">
        <w:rPr>
          <w:sz w:val="24"/>
          <w:szCs w:val="24"/>
          <w:lang w:val="fr-FR"/>
        </w:rPr>
        <w:t xml:space="preserve"> et romaine</w:t>
      </w:r>
      <w:r w:rsidR="004B5A13">
        <w:rPr>
          <w:sz w:val="24"/>
          <w:szCs w:val="24"/>
          <w:lang w:val="fr-FR"/>
        </w:rPr>
        <w:t> ? A côté du prestige religieux qu’il apportait, est-ce que ce culte comportait aussi des gains, et de quelles proportions, pour les institutions religieuses égyptiennes ?</w:t>
      </w:r>
    </w:p>
    <w:p w:rsidR="005249BB" w:rsidRDefault="005249BB" w:rsidP="004B5A13">
      <w:pPr>
        <w:spacing w:line="360" w:lineRule="auto"/>
        <w:jc w:val="both"/>
        <w:rPr>
          <w:sz w:val="24"/>
          <w:szCs w:val="24"/>
          <w:lang w:val="fr-FR"/>
        </w:rPr>
      </w:pPr>
    </w:p>
    <w:p w:rsidR="005249BB" w:rsidRDefault="005249BB" w:rsidP="004B5A13">
      <w:pPr>
        <w:spacing w:line="360" w:lineRule="auto"/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RÉPÈRE</w:t>
      </w:r>
      <w:r w:rsidR="00E44592">
        <w:rPr>
          <w:b/>
          <w:sz w:val="24"/>
          <w:szCs w:val="24"/>
          <w:lang w:val="fr-FR"/>
        </w:rPr>
        <w:t>S</w:t>
      </w:r>
      <w:r>
        <w:rPr>
          <w:b/>
          <w:sz w:val="24"/>
          <w:szCs w:val="24"/>
          <w:lang w:val="fr-FR"/>
        </w:rPr>
        <w:t xml:space="preserve"> BIBLIOGRQPHIQUE</w:t>
      </w:r>
      <w:r w:rsidR="00E44592">
        <w:rPr>
          <w:b/>
          <w:sz w:val="24"/>
          <w:szCs w:val="24"/>
          <w:lang w:val="fr-FR"/>
        </w:rPr>
        <w:t>S</w:t>
      </w:r>
      <w:r>
        <w:rPr>
          <w:b/>
          <w:sz w:val="24"/>
          <w:szCs w:val="24"/>
          <w:lang w:val="fr-FR"/>
        </w:rPr>
        <w:t xml:space="preserve"> DE BASE</w:t>
      </w:r>
      <w:r w:rsidR="00E44592">
        <w:rPr>
          <w:rStyle w:val="Rimandonotaapidipagina"/>
          <w:b/>
          <w:sz w:val="24"/>
          <w:szCs w:val="24"/>
          <w:lang w:val="fr-FR"/>
        </w:rPr>
        <w:footnoteReference w:id="3"/>
      </w:r>
      <w:r>
        <w:rPr>
          <w:b/>
          <w:sz w:val="24"/>
          <w:szCs w:val="24"/>
          <w:lang w:val="fr-FR"/>
        </w:rPr>
        <w:t>.</w:t>
      </w:r>
    </w:p>
    <w:p w:rsidR="005249BB" w:rsidRDefault="005249BB" w:rsidP="004B5A13">
      <w:pPr>
        <w:spacing w:line="360" w:lineRule="auto"/>
        <w:jc w:val="both"/>
        <w:rPr>
          <w:b/>
          <w:sz w:val="24"/>
          <w:szCs w:val="24"/>
          <w:lang w:val="fr-FR"/>
        </w:rPr>
      </w:pPr>
    </w:p>
    <w:p w:rsidR="000943FF" w:rsidRDefault="000943FF" w:rsidP="000823AB">
      <w:pPr>
        <w:spacing w:line="360" w:lineRule="auto"/>
        <w:jc w:val="both"/>
        <w:rPr>
          <w:lang w:val="fr-FR"/>
        </w:rPr>
      </w:pPr>
      <w:r>
        <w:rPr>
          <w:lang w:val="fr-FR"/>
        </w:rPr>
        <w:t xml:space="preserve">A.CHARRON, </w:t>
      </w:r>
      <w:r>
        <w:rPr>
          <w:i/>
          <w:lang w:val="fr-FR"/>
        </w:rPr>
        <w:t>Massacres d’animaux à la Basse époque</w:t>
      </w:r>
      <w:r>
        <w:rPr>
          <w:lang w:val="fr-FR"/>
        </w:rPr>
        <w:t>, RdÉ 41 (1990), pp. 209-213</w:t>
      </w:r>
    </w:p>
    <w:p w:rsidR="000823AB" w:rsidRPr="00B723DF" w:rsidRDefault="000823AB" w:rsidP="000823AB">
      <w:pPr>
        <w:spacing w:line="360" w:lineRule="auto"/>
        <w:jc w:val="both"/>
        <w:rPr>
          <w:lang w:val="fr-FR"/>
        </w:rPr>
      </w:pPr>
      <w:r w:rsidRPr="00B723DF">
        <w:rPr>
          <w:lang w:val="fr-FR"/>
        </w:rPr>
        <w:t xml:space="preserve">A.CHARRON, </w:t>
      </w:r>
      <w:r w:rsidRPr="00B723DF">
        <w:rPr>
          <w:i/>
          <w:lang w:val="fr-FR"/>
        </w:rPr>
        <w:t>Vie et mort des animaux sacrés</w:t>
      </w:r>
      <w:r w:rsidRPr="00B723DF">
        <w:rPr>
          <w:lang w:val="fr-FR"/>
        </w:rPr>
        <w:t xml:space="preserve">, dans : A.CHARRON, (éd.), </w:t>
      </w:r>
      <w:r w:rsidRPr="00B723DF">
        <w:rPr>
          <w:i/>
          <w:lang w:val="fr-FR"/>
        </w:rPr>
        <w:t>La mort n’est pas une fin</w:t>
      </w:r>
      <w:r w:rsidRPr="00B723DF">
        <w:rPr>
          <w:lang w:val="fr-FR"/>
        </w:rPr>
        <w:t>, Arles 2002, pp. 174-214.</w:t>
      </w:r>
    </w:p>
    <w:p w:rsidR="00AE7A0C" w:rsidRPr="00E44592" w:rsidRDefault="00DD4BEF" w:rsidP="000823AB">
      <w:pPr>
        <w:spacing w:line="360" w:lineRule="auto"/>
        <w:jc w:val="both"/>
        <w:rPr>
          <w:lang w:val="en-US"/>
        </w:rPr>
      </w:pPr>
      <w:r w:rsidRPr="00B723DF">
        <w:rPr>
          <w:lang w:val="en-US"/>
        </w:rPr>
        <w:t xml:space="preserve">A.COLONNA, </w:t>
      </w:r>
      <w:hyperlink r:id="rId6" w:tgtFrame="morph" w:history="1">
        <w:r w:rsidRPr="00B723DF">
          <w:rPr>
            <w:rStyle w:val="Collegamentoipertestuale"/>
            <w:color w:val="auto"/>
            <w:u w:val="none"/>
          </w:rPr>
          <w:t>θεοὶ</w:t>
        </w:r>
      </w:hyperlink>
      <w:r w:rsidRPr="00B723DF">
        <w:rPr>
          <w:lang w:val="en-US"/>
        </w:rPr>
        <w:t xml:space="preserve"> </w:t>
      </w:r>
      <w:r w:rsidRPr="00B723DF">
        <w:rPr>
          <w:i/>
          <w:lang w:val="en-US"/>
        </w:rPr>
        <w:t xml:space="preserve">and </w:t>
      </w:r>
      <w:hyperlink r:id="rId7" w:tgtFrame="morph" w:history="1">
        <w:r w:rsidRPr="00B723DF">
          <w:rPr>
            <w:rStyle w:val="Collegamentoipertestuale"/>
            <w:color w:val="auto"/>
            <w:u w:val="none"/>
          </w:rPr>
          <w:t>ἱεροὶ</w:t>
        </w:r>
      </w:hyperlink>
      <w:r w:rsidRPr="00B723DF">
        <w:rPr>
          <w:lang w:val="en-US"/>
        </w:rPr>
        <w:t xml:space="preserve"> : </w:t>
      </w:r>
      <w:r w:rsidRPr="00B723DF">
        <w:rPr>
          <w:i/>
          <w:lang w:val="en-US"/>
        </w:rPr>
        <w:t>Some remarks on Animal Cult in Ancient Egypt According to Classical and Egyptian Texts</w:t>
      </w:r>
      <w:r w:rsidRPr="00B723DF">
        <w:rPr>
          <w:lang w:val="en-US"/>
        </w:rPr>
        <w:t xml:space="preserve">, dans: T.LECOV, E.BUZOV (éds.), </w:t>
      </w:r>
      <w:r w:rsidRPr="00B723DF">
        <w:rPr>
          <w:i/>
          <w:lang w:val="en-US"/>
        </w:rPr>
        <w:t xml:space="preserve">Proceedings of the Fourth International Congress for Young Egyptologists. </w:t>
      </w:r>
      <w:r w:rsidRPr="00E44592">
        <w:rPr>
          <w:i/>
          <w:lang w:val="en-US"/>
        </w:rPr>
        <w:t>25-27 September 2012, Sofia</w:t>
      </w:r>
      <w:r w:rsidRPr="00E44592">
        <w:rPr>
          <w:lang w:val="en-US"/>
        </w:rPr>
        <w:t>, Sofia 2014, pp. 102-111.</w:t>
      </w:r>
    </w:p>
    <w:p w:rsidR="00B723DF" w:rsidRPr="00B723DF" w:rsidRDefault="00B723DF" w:rsidP="00B723DF">
      <w:pPr>
        <w:spacing w:line="360" w:lineRule="auto"/>
        <w:jc w:val="both"/>
        <w:rPr>
          <w:lang w:val="en-US"/>
        </w:rPr>
      </w:pPr>
      <w:r w:rsidRPr="00B723DF">
        <w:rPr>
          <w:lang w:val="en-US"/>
        </w:rPr>
        <w:t xml:space="preserve">S.DAVIES, </w:t>
      </w:r>
      <w:r w:rsidRPr="00B723DF">
        <w:rPr>
          <w:i/>
          <w:lang w:val="en-US"/>
        </w:rPr>
        <w:t>The organization, administration and functioning of the sacred animal cults at north Saqqara as revealed by the demotic papyri from the site</w:t>
      </w:r>
      <w:r w:rsidRPr="00B723DF">
        <w:rPr>
          <w:lang w:val="en-US"/>
        </w:rPr>
        <w:t xml:space="preserve">, dans K.RYHOLT (éd.), </w:t>
      </w:r>
      <w:r w:rsidRPr="00B723DF">
        <w:rPr>
          <w:i/>
          <w:lang w:val="en-US"/>
        </w:rPr>
        <w:t>Acts of the Seventh International Conference of Demotic Studies</w:t>
      </w:r>
      <w:r w:rsidRPr="00B723DF">
        <w:rPr>
          <w:lang w:val="en-US"/>
        </w:rPr>
        <w:t>, Copenhagen, 23-27 August 1999, Copenhagen 2002, pp. 77-84.</w:t>
      </w:r>
    </w:p>
    <w:p w:rsidR="00AE7A0C" w:rsidRPr="00B723DF" w:rsidRDefault="00AE7A0C" w:rsidP="000823AB">
      <w:pPr>
        <w:spacing w:line="360" w:lineRule="auto"/>
        <w:jc w:val="both"/>
        <w:rPr>
          <w:lang w:val="en-US"/>
        </w:rPr>
      </w:pPr>
      <w:r w:rsidRPr="00B723DF">
        <w:rPr>
          <w:lang w:val="en-US"/>
        </w:rPr>
        <w:t xml:space="preserve">M.EBEID, </w:t>
      </w:r>
      <w:r w:rsidRPr="00B723DF">
        <w:rPr>
          <w:i/>
          <w:lang w:val="en-US"/>
        </w:rPr>
        <w:t>Demotic Inscriptions from the Galleries of Tuna el-Gebel</w:t>
      </w:r>
      <w:r w:rsidRPr="00B723DF">
        <w:rPr>
          <w:lang w:val="en-US"/>
        </w:rPr>
        <w:t>, “BIFAO” 106 (2006), pp. 57-69</w:t>
      </w:r>
    </w:p>
    <w:p w:rsidR="004D0E85" w:rsidRPr="000943FF" w:rsidRDefault="004D0E85" w:rsidP="000823AB">
      <w:pPr>
        <w:spacing w:line="360" w:lineRule="auto"/>
        <w:jc w:val="both"/>
        <w:rPr>
          <w:lang w:val="en-US"/>
        </w:rPr>
      </w:pPr>
      <w:r w:rsidRPr="00B723DF">
        <w:rPr>
          <w:lang w:val="en-US"/>
        </w:rPr>
        <w:t xml:space="preserve">S.IKRAM, </w:t>
      </w:r>
      <w:r w:rsidRPr="00B723DF">
        <w:rPr>
          <w:i/>
          <w:lang w:val="en-US"/>
        </w:rPr>
        <w:t>Manufacturing Divinity. The Technology of Mummification</w:t>
      </w:r>
      <w:r w:rsidRPr="00B723DF">
        <w:rPr>
          <w:lang w:val="en-US"/>
        </w:rPr>
        <w:t xml:space="preserve">, dans: S.IKRAM, </w:t>
      </w:r>
      <w:r w:rsidRPr="00B723DF">
        <w:rPr>
          <w:i/>
          <w:lang w:val="en-US"/>
        </w:rPr>
        <w:t xml:space="preserve">Devine Creatures. </w:t>
      </w:r>
      <w:r w:rsidRPr="000943FF">
        <w:rPr>
          <w:i/>
          <w:lang w:val="en-US"/>
        </w:rPr>
        <w:t>Animal Mummies in Ancient Egypt</w:t>
      </w:r>
      <w:r w:rsidRPr="000943FF">
        <w:rPr>
          <w:lang w:val="en-US"/>
        </w:rPr>
        <w:t>, Cairo, New York 2005, pp. 16-43.</w:t>
      </w:r>
    </w:p>
    <w:p w:rsidR="00B723DF" w:rsidRPr="00B723DF" w:rsidRDefault="00B723DF" w:rsidP="00B723DF">
      <w:pPr>
        <w:spacing w:line="360" w:lineRule="auto"/>
        <w:jc w:val="both"/>
        <w:rPr>
          <w:lang w:val="en-US"/>
        </w:rPr>
      </w:pPr>
      <w:r w:rsidRPr="00B723DF">
        <w:rPr>
          <w:lang w:val="en-US"/>
        </w:rPr>
        <w:lastRenderedPageBreak/>
        <w:t xml:space="preserve">H.KOCKELMANN, </w:t>
      </w:r>
      <w:r w:rsidRPr="00B723DF">
        <w:rPr>
          <w:i/>
          <w:lang w:val="en-US"/>
        </w:rPr>
        <w:t>Sobek und die Caesaren. Einige Bemerkungen zur Situation der Kr</w:t>
      </w:r>
      <w:r w:rsidR="0042398A">
        <w:rPr>
          <w:i/>
          <w:lang w:val="en-US"/>
        </w:rPr>
        <w:t>okodilgötterkulte des Fayum unt</w:t>
      </w:r>
      <w:bookmarkStart w:id="0" w:name="_GoBack"/>
      <w:bookmarkEnd w:id="0"/>
      <w:r w:rsidRPr="00B723DF">
        <w:rPr>
          <w:i/>
          <w:lang w:val="en-US"/>
        </w:rPr>
        <w:t>er römischer Herrschaft</w:t>
      </w:r>
      <w:r w:rsidRPr="00B723DF">
        <w:rPr>
          <w:lang w:val="en-US"/>
        </w:rPr>
        <w:t xml:space="preserve">, dans: K.LEMBKE, M.MINAS-NERPEL, S.PFEIFFER, (éds), </w:t>
      </w:r>
      <w:r w:rsidRPr="00B723DF">
        <w:rPr>
          <w:i/>
          <w:lang w:val="en-US"/>
        </w:rPr>
        <w:t>Tradition and transformations : Egypt under Roman Rule</w:t>
      </w:r>
      <w:r w:rsidRPr="00B723DF">
        <w:rPr>
          <w:lang w:val="en-US"/>
        </w:rPr>
        <w:t>, Leiden, Boston 2010, pp.203-230.</w:t>
      </w:r>
    </w:p>
    <w:p w:rsidR="00B723DF" w:rsidRPr="00B723DF" w:rsidRDefault="00B723DF" w:rsidP="000823AB">
      <w:pPr>
        <w:spacing w:line="360" w:lineRule="auto"/>
        <w:jc w:val="both"/>
        <w:rPr>
          <w:lang w:val="en-US"/>
        </w:rPr>
      </w:pPr>
      <w:r w:rsidRPr="00B723DF">
        <w:rPr>
          <w:lang w:val="en-US"/>
        </w:rPr>
        <w:t xml:space="preserve">P.T.NICHOLSON, </w:t>
      </w:r>
      <w:r w:rsidRPr="00B723DF">
        <w:rPr>
          <w:i/>
          <w:lang w:val="en-US"/>
        </w:rPr>
        <w:t>The Sacred animal Necropolis at North Saqqara. The Cults and their Catacombs</w:t>
      </w:r>
      <w:r w:rsidRPr="00B723DF">
        <w:rPr>
          <w:lang w:val="en-US"/>
        </w:rPr>
        <w:t xml:space="preserve">, dans S.IKRAM, </w:t>
      </w:r>
      <w:r w:rsidRPr="00B723DF">
        <w:rPr>
          <w:i/>
          <w:lang w:val="en-US"/>
        </w:rPr>
        <w:t>Devine Creatures</w:t>
      </w:r>
      <w:r w:rsidRPr="00B723DF">
        <w:rPr>
          <w:lang w:val="en-US"/>
        </w:rPr>
        <w:t>, pp. 44-71</w:t>
      </w:r>
    </w:p>
    <w:p w:rsidR="000823AB" w:rsidRPr="00B723DF" w:rsidRDefault="000823AB" w:rsidP="000823AB">
      <w:pPr>
        <w:spacing w:line="360" w:lineRule="auto"/>
        <w:jc w:val="both"/>
        <w:rPr>
          <w:lang w:val="en-US"/>
        </w:rPr>
      </w:pPr>
      <w:r w:rsidRPr="00B723DF">
        <w:rPr>
          <w:lang w:val="en-US"/>
        </w:rPr>
        <w:t xml:space="preserve">S.PFEIFFER, </w:t>
      </w:r>
      <w:r w:rsidRPr="00B723DF">
        <w:rPr>
          <w:i/>
          <w:lang w:val="en-US"/>
        </w:rPr>
        <w:t>Der ägyptische « Tierkult » im Spiegel der griechisch-römischen Literatur</w:t>
      </w:r>
      <w:r w:rsidRPr="00B723DF">
        <w:rPr>
          <w:lang w:val="en-US"/>
        </w:rPr>
        <w:t xml:space="preserve">, dans : A.ALEXANDRIDIS,  M.WILD,  L.WINKLER-HORAČEK, </w:t>
      </w:r>
      <w:r w:rsidRPr="00B723DF">
        <w:rPr>
          <w:i/>
          <w:lang w:val="en-US"/>
        </w:rPr>
        <w:t>Mensch und Tier in der Antike</w:t>
      </w:r>
      <w:r w:rsidRPr="00B723DF">
        <w:rPr>
          <w:lang w:val="en-US"/>
        </w:rPr>
        <w:t>, Wiesbaden 2008, pp. 373-393.</w:t>
      </w:r>
    </w:p>
    <w:p w:rsidR="00DD4BEF" w:rsidRPr="00B723DF" w:rsidRDefault="00DD4BEF" w:rsidP="00DD4BEF">
      <w:pPr>
        <w:spacing w:line="360" w:lineRule="auto"/>
        <w:jc w:val="both"/>
        <w:rPr>
          <w:lang w:val="fr-FR"/>
        </w:rPr>
      </w:pPr>
      <w:r w:rsidRPr="00B723DF">
        <w:rPr>
          <w:lang w:val="fr-FR"/>
        </w:rPr>
        <w:t xml:space="preserve">J.QUAEGEBEUR, </w:t>
      </w:r>
      <w:r w:rsidRPr="00B723DF">
        <w:rPr>
          <w:i/>
          <w:lang w:val="fr-FR"/>
        </w:rPr>
        <w:t>La désignation « Porteur(s) des dieux » et le culte des dieux-crocodiles dans les textes d’époques tardives</w:t>
      </w:r>
      <w:r w:rsidRPr="00B723DF">
        <w:rPr>
          <w:lang w:val="fr-FR"/>
        </w:rPr>
        <w:t xml:space="preserve">, dans </w:t>
      </w:r>
      <w:r w:rsidRPr="00B723DF">
        <w:rPr>
          <w:i/>
          <w:lang w:val="fr-FR"/>
        </w:rPr>
        <w:t>MELANGES Adolphe GUTBUB,</w:t>
      </w:r>
      <w:r w:rsidRPr="00B723DF">
        <w:rPr>
          <w:lang w:val="fr-FR"/>
        </w:rPr>
        <w:t xml:space="preserve"> Montpellier 1984, pp.161-174.</w:t>
      </w:r>
    </w:p>
    <w:p w:rsidR="00B723DF" w:rsidRPr="00B723DF" w:rsidRDefault="00B723DF" w:rsidP="000823AB">
      <w:pPr>
        <w:spacing w:line="360" w:lineRule="auto"/>
        <w:jc w:val="both"/>
        <w:rPr>
          <w:lang w:val="en-US"/>
        </w:rPr>
      </w:pPr>
      <w:r w:rsidRPr="00B723DF">
        <w:rPr>
          <w:lang w:val="en-US"/>
        </w:rPr>
        <w:t xml:space="preserve">J.D.RAY, </w:t>
      </w:r>
      <w:r w:rsidRPr="00B723DF">
        <w:rPr>
          <w:i/>
          <w:lang w:val="en-US"/>
        </w:rPr>
        <w:t>The Archive of Hor</w:t>
      </w:r>
      <w:r w:rsidRPr="00B723DF">
        <w:rPr>
          <w:lang w:val="en-US"/>
        </w:rPr>
        <w:t>, London 1976</w:t>
      </w:r>
    </w:p>
    <w:p w:rsidR="00B723DF" w:rsidRPr="00B723DF" w:rsidRDefault="00B723DF" w:rsidP="000823AB">
      <w:pPr>
        <w:spacing w:line="360" w:lineRule="auto"/>
        <w:jc w:val="both"/>
        <w:rPr>
          <w:lang w:val="en-US"/>
        </w:rPr>
      </w:pPr>
      <w:r w:rsidRPr="00B723DF">
        <w:rPr>
          <w:lang w:val="en-US"/>
        </w:rPr>
        <w:t xml:space="preserve">K.H.D.SMELIK, </w:t>
      </w:r>
      <w:r w:rsidRPr="00B723DF">
        <w:rPr>
          <w:i/>
          <w:lang w:val="en-US"/>
        </w:rPr>
        <w:t>The Cult of the Ibis in the Graeco-roman Period</w:t>
      </w:r>
      <w:r w:rsidRPr="00B723DF">
        <w:rPr>
          <w:lang w:val="en-US"/>
        </w:rPr>
        <w:t xml:space="preserve">, dans: M.J.VERMASEREN (éd.), </w:t>
      </w:r>
      <w:r w:rsidRPr="00B723DF">
        <w:rPr>
          <w:i/>
          <w:lang w:val="en-US"/>
        </w:rPr>
        <w:t>Studies in Hellenistic Religions</w:t>
      </w:r>
      <w:r w:rsidRPr="00B723DF">
        <w:rPr>
          <w:lang w:val="en-US"/>
        </w:rPr>
        <w:t>, Leiden 1979, pp. 225-243.</w:t>
      </w:r>
    </w:p>
    <w:p w:rsidR="000823AB" w:rsidRPr="000943FF" w:rsidRDefault="00AE7A0C" w:rsidP="000823AB">
      <w:pPr>
        <w:spacing w:line="360" w:lineRule="auto"/>
        <w:jc w:val="both"/>
        <w:rPr>
          <w:lang w:val="en-US"/>
        </w:rPr>
      </w:pPr>
      <w:r w:rsidRPr="000943FF">
        <w:rPr>
          <w:lang w:val="en-US"/>
        </w:rPr>
        <w:t xml:space="preserve">H.THISSEN, </w:t>
      </w:r>
      <w:r w:rsidRPr="000943FF">
        <w:rPr>
          <w:i/>
          <w:lang w:val="en-US"/>
        </w:rPr>
        <w:t>Demotische Inschriften aus den Ibisgalerien in Tuna el-Gebel</w:t>
      </w:r>
      <w:r w:rsidRPr="000943FF">
        <w:rPr>
          <w:lang w:val="en-US"/>
        </w:rPr>
        <w:t>, « Enchoria » 18 (1991), pp. 107-113 </w:t>
      </w:r>
    </w:p>
    <w:p w:rsidR="000823AB" w:rsidRPr="00E44592" w:rsidRDefault="000943FF" w:rsidP="000823AB">
      <w:pPr>
        <w:spacing w:line="360" w:lineRule="auto"/>
        <w:jc w:val="both"/>
        <w:rPr>
          <w:sz w:val="24"/>
          <w:szCs w:val="24"/>
          <w:lang w:val="en-US"/>
        </w:rPr>
      </w:pPr>
      <w:r w:rsidRPr="00E44592">
        <w:rPr>
          <w:lang w:val="en-US"/>
        </w:rPr>
        <w:t xml:space="preserve">P.VERNUS, J.YOYOTTE (éds), </w:t>
      </w:r>
      <w:r w:rsidRPr="00E44592">
        <w:rPr>
          <w:i/>
          <w:lang w:val="en-US"/>
        </w:rPr>
        <w:t>Bestiaire des Pharaons</w:t>
      </w:r>
      <w:r w:rsidRPr="00E44592">
        <w:rPr>
          <w:lang w:val="en-US"/>
        </w:rPr>
        <w:t>, Paris 2005.</w:t>
      </w:r>
    </w:p>
    <w:p w:rsidR="005249BB" w:rsidRPr="00E44592" w:rsidRDefault="005249BB" w:rsidP="004B5A13">
      <w:pPr>
        <w:spacing w:line="360" w:lineRule="auto"/>
        <w:jc w:val="both"/>
        <w:rPr>
          <w:b/>
          <w:sz w:val="24"/>
          <w:szCs w:val="24"/>
          <w:lang w:val="en-US"/>
        </w:rPr>
      </w:pPr>
    </w:p>
    <w:p w:rsidR="008F795F" w:rsidRPr="00E44592" w:rsidRDefault="008F795F" w:rsidP="000156B5">
      <w:pPr>
        <w:spacing w:line="360" w:lineRule="auto"/>
        <w:jc w:val="both"/>
        <w:rPr>
          <w:sz w:val="24"/>
          <w:szCs w:val="24"/>
          <w:lang w:val="en-US"/>
        </w:rPr>
      </w:pPr>
    </w:p>
    <w:sectPr w:rsidR="008F795F" w:rsidRPr="00E4459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D92" w:rsidRDefault="00B62D92" w:rsidP="00BE7821">
      <w:pPr>
        <w:spacing w:after="0" w:line="240" w:lineRule="auto"/>
      </w:pPr>
      <w:r>
        <w:separator/>
      </w:r>
    </w:p>
  </w:endnote>
  <w:endnote w:type="continuationSeparator" w:id="0">
    <w:p w:rsidR="00B62D92" w:rsidRDefault="00B62D92" w:rsidP="00BE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5480902"/>
      <w:docPartObj>
        <w:docPartGallery w:val="Page Numbers (Bottom of Page)"/>
        <w:docPartUnique/>
      </w:docPartObj>
    </w:sdtPr>
    <w:sdtEndPr/>
    <w:sdtContent>
      <w:p w:rsidR="00BE7821" w:rsidRDefault="00BE782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98A">
          <w:rPr>
            <w:noProof/>
          </w:rPr>
          <w:t>3</w:t>
        </w:r>
        <w:r>
          <w:fldChar w:fldCharType="end"/>
        </w:r>
      </w:p>
    </w:sdtContent>
  </w:sdt>
  <w:p w:rsidR="00BE7821" w:rsidRDefault="00BE782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D92" w:rsidRDefault="00B62D92" w:rsidP="00BE7821">
      <w:pPr>
        <w:spacing w:after="0" w:line="240" w:lineRule="auto"/>
      </w:pPr>
      <w:r>
        <w:separator/>
      </w:r>
    </w:p>
  </w:footnote>
  <w:footnote w:type="continuationSeparator" w:id="0">
    <w:p w:rsidR="00B62D92" w:rsidRDefault="00B62D92" w:rsidP="00BE7821">
      <w:pPr>
        <w:spacing w:after="0" w:line="240" w:lineRule="auto"/>
      </w:pPr>
      <w:r>
        <w:continuationSeparator/>
      </w:r>
    </w:p>
  </w:footnote>
  <w:footnote w:id="1">
    <w:p w:rsidR="005249BB" w:rsidRPr="00E44592" w:rsidRDefault="005249BB" w:rsidP="005249BB">
      <w:pPr>
        <w:pStyle w:val="Testonotaapidipagina"/>
        <w:jc w:val="both"/>
        <w:rPr>
          <w:lang w:val="en-US"/>
        </w:rPr>
      </w:pPr>
      <w:r>
        <w:rPr>
          <w:rStyle w:val="Rimandonotaapidipagina"/>
        </w:rPr>
        <w:footnoteRef/>
      </w:r>
      <w:r w:rsidRPr="005249BB">
        <w:rPr>
          <w:lang w:val="en-US"/>
        </w:rPr>
        <w:t xml:space="preserve"> </w:t>
      </w:r>
      <w:r w:rsidRPr="005249BB">
        <w:rPr>
          <w:i/>
          <w:lang w:val="en-US"/>
        </w:rPr>
        <w:t>Sobek, Lord of the Land of the Lake</w:t>
      </w:r>
      <w:r w:rsidRPr="005249BB">
        <w:rPr>
          <w:lang w:val="en-US"/>
        </w:rPr>
        <w:t xml:space="preserve">, dans S.IKRAM, </w:t>
      </w:r>
      <w:r w:rsidRPr="005249BB">
        <w:rPr>
          <w:i/>
          <w:lang w:val="en-US"/>
        </w:rPr>
        <w:t xml:space="preserve">Devine Creatures. </w:t>
      </w:r>
      <w:r w:rsidRPr="00E44592">
        <w:rPr>
          <w:i/>
          <w:lang w:val="en-US"/>
        </w:rPr>
        <w:t>Animal Mummies in Ancient Egypt</w:t>
      </w:r>
      <w:r w:rsidRPr="00E44592">
        <w:rPr>
          <w:lang w:val="en-US"/>
        </w:rPr>
        <w:t>, Cairo, New York 2005, pp. 199-206</w:t>
      </w:r>
    </w:p>
  </w:footnote>
  <w:footnote w:id="2">
    <w:p w:rsidR="005249BB" w:rsidRDefault="005249BB" w:rsidP="005249BB">
      <w:pPr>
        <w:pStyle w:val="Testonotaapidipagina"/>
        <w:jc w:val="both"/>
      </w:pPr>
      <w:r>
        <w:rPr>
          <w:rStyle w:val="Rimandonotaapidipagina"/>
        </w:rPr>
        <w:footnoteRef/>
      </w:r>
      <w:r w:rsidRPr="005249BB">
        <w:rPr>
          <w:lang w:val="en-US"/>
        </w:rPr>
        <w:t xml:space="preserve"> D.KESSLER , ABD EL HALIN NUR EL-DIN, </w:t>
      </w:r>
      <w:r w:rsidRPr="005249BB">
        <w:rPr>
          <w:i/>
          <w:lang w:val="en-US"/>
        </w:rPr>
        <w:t>Tuna el-Gebel. Millions of Ibises and Other Animals</w:t>
      </w:r>
      <w:r w:rsidRPr="005249BB">
        <w:rPr>
          <w:lang w:val="en-US"/>
        </w:rPr>
        <w:t xml:space="preserve">, dans: S.IKRAM, </w:t>
      </w:r>
      <w:r w:rsidRPr="005249BB">
        <w:rPr>
          <w:i/>
          <w:lang w:val="en-US"/>
        </w:rPr>
        <w:t>Devine Creatures. Animal Mummies in Ancient Egypt</w:t>
      </w:r>
      <w:r w:rsidRPr="005249BB">
        <w:rPr>
          <w:lang w:val="en-US"/>
        </w:rPr>
        <w:t>, Cairo, New York 2005, pp. 156-158</w:t>
      </w:r>
    </w:p>
  </w:footnote>
  <w:footnote w:id="3">
    <w:p w:rsidR="00E44592" w:rsidRDefault="00E44592" w:rsidP="00E44592">
      <w:pPr>
        <w:pStyle w:val="Testonotaapidipagina"/>
        <w:jc w:val="both"/>
        <w:rPr>
          <w:lang w:val="fr-FR"/>
        </w:rPr>
      </w:pPr>
      <w:r>
        <w:rPr>
          <w:rStyle w:val="Rimandonotaapidipagina"/>
        </w:rPr>
        <w:footnoteRef/>
      </w:r>
      <w:r w:rsidRPr="00E44592">
        <w:rPr>
          <w:lang w:val="fr-FR"/>
        </w:rPr>
        <w:t xml:space="preserve"> </w:t>
      </w:r>
      <w:r>
        <w:rPr>
          <w:lang w:val="fr-FR"/>
        </w:rPr>
        <w:t xml:space="preserve">Mon enquête sera centrée sur les documents papyrologiques grecques, ainsi que sur les inscriptions et toute autre source pertinente. </w:t>
      </w:r>
    </w:p>
    <w:p w:rsidR="00E44592" w:rsidRDefault="00E44592" w:rsidP="00E44592">
      <w:pPr>
        <w:pStyle w:val="Testonotaapidipagina"/>
        <w:jc w:val="both"/>
        <w:rPr>
          <w:lang w:val="fr-FR"/>
        </w:rPr>
      </w:pPr>
    </w:p>
    <w:p w:rsidR="00E44592" w:rsidRDefault="00E44592" w:rsidP="00E44592">
      <w:pPr>
        <w:pStyle w:val="Testonotaapidipagina"/>
        <w:jc w:val="both"/>
        <w:rPr>
          <w:lang w:val="fr-FR"/>
        </w:rPr>
      </w:pPr>
    </w:p>
    <w:p w:rsidR="00E44592" w:rsidRDefault="00E44592" w:rsidP="00E44592">
      <w:pPr>
        <w:pStyle w:val="Testonotaapidipagina"/>
        <w:jc w:val="both"/>
        <w:rPr>
          <w:lang w:val="fr-FR"/>
        </w:rPr>
      </w:pPr>
    </w:p>
    <w:p w:rsidR="00E44592" w:rsidRDefault="00E44592" w:rsidP="00E44592">
      <w:pPr>
        <w:pStyle w:val="Testonotaapidipagina"/>
        <w:jc w:val="both"/>
        <w:rPr>
          <w:lang w:val="fr-FR"/>
        </w:rPr>
      </w:pPr>
    </w:p>
    <w:p w:rsidR="00E44592" w:rsidRPr="00E44592" w:rsidRDefault="00E44592" w:rsidP="00E44592">
      <w:pPr>
        <w:pStyle w:val="Testonotaapidipagina"/>
        <w:jc w:val="both"/>
        <w:rPr>
          <w:lang w:val="fr-F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B5"/>
    <w:rsid w:val="000156B5"/>
    <w:rsid w:val="00043422"/>
    <w:rsid w:val="000823AB"/>
    <w:rsid w:val="000943FF"/>
    <w:rsid w:val="00174FBB"/>
    <w:rsid w:val="002E087F"/>
    <w:rsid w:val="003F5464"/>
    <w:rsid w:val="0042398A"/>
    <w:rsid w:val="00464630"/>
    <w:rsid w:val="004B5A13"/>
    <w:rsid w:val="004D0E85"/>
    <w:rsid w:val="005249BB"/>
    <w:rsid w:val="008F795F"/>
    <w:rsid w:val="00AD16BD"/>
    <w:rsid w:val="00AE7A0C"/>
    <w:rsid w:val="00B56387"/>
    <w:rsid w:val="00B62D92"/>
    <w:rsid w:val="00B723DF"/>
    <w:rsid w:val="00B95DC6"/>
    <w:rsid w:val="00BE7821"/>
    <w:rsid w:val="00C363BA"/>
    <w:rsid w:val="00D00922"/>
    <w:rsid w:val="00DD4BEF"/>
    <w:rsid w:val="00DD64AB"/>
    <w:rsid w:val="00E078BE"/>
    <w:rsid w:val="00E44592"/>
    <w:rsid w:val="00E45517"/>
    <w:rsid w:val="00E80E87"/>
    <w:rsid w:val="00F1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FAE22-1603-4376-ADC2-080FB28F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4B5A13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B5A13"/>
  </w:style>
  <w:style w:type="paragraph" w:styleId="Intestazione">
    <w:name w:val="header"/>
    <w:basedOn w:val="Normale"/>
    <w:link w:val="IntestazioneCarattere"/>
    <w:uiPriority w:val="99"/>
    <w:unhideWhenUsed/>
    <w:rsid w:val="00BE78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7821"/>
  </w:style>
  <w:style w:type="paragraph" w:styleId="Pidipagina">
    <w:name w:val="footer"/>
    <w:basedOn w:val="Normale"/>
    <w:link w:val="PidipaginaCarattere"/>
    <w:uiPriority w:val="99"/>
    <w:unhideWhenUsed/>
    <w:rsid w:val="00BE78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7821"/>
  </w:style>
  <w:style w:type="character" w:styleId="Rimandonotaapidipagina">
    <w:name w:val="footnote reference"/>
    <w:basedOn w:val="Carpredefinitoparagrafo"/>
    <w:uiPriority w:val="99"/>
    <w:semiHidden/>
    <w:unhideWhenUsed/>
    <w:rsid w:val="005249BB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D4BE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erseus.tufts.edu/hopper/morph?l=i%28eroi%5C&amp;la=greek&amp;can=i%28eroi%5C0&amp;prior=nomi/zont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rseus.tufts.edu/hopper/morph?l=qeoi%5C&amp;la=greek&amp;can=qeoi%5C1&amp;prior=de%5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bussi</dc:creator>
  <cp:keywords/>
  <dc:description/>
  <cp:lastModifiedBy>silvia bussi</cp:lastModifiedBy>
  <cp:revision>18</cp:revision>
  <cp:lastPrinted>2015-12-11T14:50:00Z</cp:lastPrinted>
  <dcterms:created xsi:type="dcterms:W3CDTF">2015-12-07T16:23:00Z</dcterms:created>
  <dcterms:modified xsi:type="dcterms:W3CDTF">2015-12-11T14:53:00Z</dcterms:modified>
</cp:coreProperties>
</file>